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6C9BA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szCs w:val="24"/>
        </w:rPr>
      </w:pPr>
    </w:p>
    <w:p w14:paraId="6F85E632" w14:textId="77777777" w:rsidR="0061624E" w:rsidRPr="00AE3F65" w:rsidRDefault="0061624E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Book Antiqua" w:hAnsi="Book Antiqua"/>
          <w:szCs w:val="24"/>
        </w:rPr>
      </w:pPr>
      <w:r w:rsidRPr="00AE3F65">
        <w:rPr>
          <w:rFonts w:ascii="Book Antiqua" w:hAnsi="Book Antiqua"/>
          <w:szCs w:val="24"/>
        </w:rPr>
        <w:t>ПЪЛНОМОЩНО – ОБРАЗЕЦ</w:t>
      </w:r>
    </w:p>
    <w:p w14:paraId="7EDCEF4A" w14:textId="77777777" w:rsidR="007C5672" w:rsidRPr="00AE3F65" w:rsidRDefault="00B9374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Book Antiqua" w:hAnsi="Book Antiqua"/>
          <w:b w:val="0"/>
          <w:szCs w:val="24"/>
        </w:rPr>
      </w:pPr>
      <w:r w:rsidRPr="00AE3F65">
        <w:rPr>
          <w:rFonts w:ascii="Book Antiqua" w:hAnsi="Book Antiqua"/>
          <w:b w:val="0"/>
          <w:szCs w:val="24"/>
        </w:rPr>
        <w:t>за представляване на акционер в Общото събрание</w:t>
      </w:r>
      <w:r w:rsidR="007C5672" w:rsidRPr="00AE3F65">
        <w:rPr>
          <w:rFonts w:ascii="Book Antiqua" w:hAnsi="Book Antiqua"/>
          <w:b w:val="0"/>
          <w:szCs w:val="24"/>
        </w:rPr>
        <w:t xml:space="preserve"> на акционерите</w:t>
      </w:r>
    </w:p>
    <w:p w14:paraId="7CD4F612" w14:textId="77777777" w:rsidR="0061624E" w:rsidRPr="00AE3F65" w:rsidRDefault="00B9374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rPr>
          <w:rFonts w:ascii="Book Antiqua" w:hAnsi="Book Antiqua"/>
          <w:b w:val="0"/>
          <w:szCs w:val="24"/>
        </w:rPr>
      </w:pPr>
      <w:r w:rsidRPr="00AE3F65">
        <w:rPr>
          <w:rFonts w:ascii="Book Antiqua" w:hAnsi="Book Antiqua"/>
          <w:b w:val="0"/>
          <w:szCs w:val="24"/>
        </w:rPr>
        <w:t>на „</w:t>
      </w:r>
      <w:r w:rsidR="007C5672" w:rsidRPr="00AE3F65">
        <w:rPr>
          <w:rFonts w:ascii="Book Antiqua" w:hAnsi="Book Antiqua"/>
          <w:b w:val="0"/>
          <w:szCs w:val="24"/>
        </w:rPr>
        <w:t>ЗАГОРА ФИНИНВЕСТ</w:t>
      </w:r>
      <w:r w:rsidRPr="00AE3F65">
        <w:rPr>
          <w:rFonts w:ascii="Book Antiqua" w:hAnsi="Book Antiqua"/>
          <w:b w:val="0"/>
          <w:szCs w:val="24"/>
        </w:rPr>
        <w:t>“ АД</w:t>
      </w:r>
    </w:p>
    <w:p w14:paraId="10F10B0D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szCs w:val="24"/>
        </w:rPr>
      </w:pPr>
    </w:p>
    <w:p w14:paraId="0A41A49A" w14:textId="77777777" w:rsidR="006407B1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szCs w:val="24"/>
        </w:rPr>
      </w:pPr>
    </w:p>
    <w:p w14:paraId="1354683D" w14:textId="77777777" w:rsidR="00DF1A90" w:rsidRPr="00AE3F65" w:rsidRDefault="00DF1A90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szCs w:val="24"/>
        </w:rPr>
      </w:pPr>
    </w:p>
    <w:p w14:paraId="282F99CB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bCs/>
          <w:i/>
          <w:iCs/>
          <w:color w:val="000000"/>
          <w:szCs w:val="24"/>
          <w:lang w:eastAsia="en-US"/>
        </w:rPr>
      </w:pPr>
      <w:r w:rsidRPr="00AE3F65">
        <w:rPr>
          <w:rFonts w:ascii="Book Antiqua" w:hAnsi="Book Antiqua"/>
          <w:b w:val="0"/>
          <w:bCs/>
          <w:i/>
          <w:iCs/>
          <w:color w:val="000000"/>
          <w:szCs w:val="24"/>
          <w:lang w:eastAsia="en-US"/>
        </w:rPr>
        <w:tab/>
        <w:t>(В случай на акционер юридическо лице)</w:t>
      </w:r>
    </w:p>
    <w:p w14:paraId="452BCBF9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szCs w:val="24"/>
          <w:u w:val="single"/>
        </w:rPr>
      </w:pPr>
    </w:p>
    <w:p w14:paraId="3C3CF762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bCs/>
          <w:szCs w:val="24"/>
        </w:rPr>
      </w:pPr>
      <w:r w:rsidRPr="00AE3F65">
        <w:rPr>
          <w:rFonts w:ascii="Book Antiqua" w:hAnsi="Book Antiqua"/>
          <w:b w:val="0"/>
          <w:bCs/>
          <w:szCs w:val="24"/>
        </w:rPr>
        <w:tab/>
        <w:t>Долуподписаният, ……………………..........……, ЕГН ....................., с документ за самоличност № .........................., издаден на ............г. от ..........., с адрес: гр. ..........., ул. .......... № ....., ет......, ап......., в качеството си на представляващ по закон ..................., със седалище и адрес на управление: адрес: гр. ................, ул. ........... № ......., ет. ....., ЕИК ............, акционер на ....................., притежаващ ............ (......................................) броя поименни, безналични акции с право на глас от капитала на „Загора Фининвест“ АД, на основание чл. 226 от ТЗ във връзка с чл. 116, ал. 1 от Закона за публично предлагане на ценни книжа</w:t>
      </w:r>
    </w:p>
    <w:p w14:paraId="09EB41F9" w14:textId="77777777" w:rsidR="00535A1A" w:rsidRPr="00AE3F65" w:rsidRDefault="00535A1A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jc w:val="both"/>
        <w:rPr>
          <w:rFonts w:ascii="Book Antiqua" w:hAnsi="Book Antiqua"/>
          <w:b w:val="0"/>
          <w:bCs/>
          <w:color w:val="000000"/>
          <w:szCs w:val="24"/>
        </w:rPr>
      </w:pPr>
    </w:p>
    <w:p w14:paraId="214E98FE" w14:textId="77777777" w:rsidR="0061624E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color w:val="000000"/>
          <w:szCs w:val="24"/>
        </w:rPr>
      </w:pPr>
      <w:r w:rsidRPr="00AE3F65">
        <w:rPr>
          <w:rFonts w:ascii="Book Antiqua" w:hAnsi="Book Antiqua"/>
          <w:b w:val="0"/>
          <w:color w:val="000000"/>
          <w:szCs w:val="24"/>
        </w:rPr>
        <w:tab/>
        <w:t>и</w:t>
      </w:r>
      <w:r w:rsidR="0061624E" w:rsidRPr="00AE3F65">
        <w:rPr>
          <w:rFonts w:ascii="Book Antiqua" w:hAnsi="Book Antiqua"/>
          <w:b w:val="0"/>
          <w:color w:val="000000"/>
          <w:szCs w:val="24"/>
        </w:rPr>
        <w:t>ли</w:t>
      </w:r>
    </w:p>
    <w:p w14:paraId="5F501034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color w:val="000000"/>
          <w:szCs w:val="24"/>
        </w:rPr>
      </w:pPr>
    </w:p>
    <w:p w14:paraId="1D8A831E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bCs/>
          <w:i/>
          <w:iCs/>
          <w:color w:val="000000"/>
          <w:szCs w:val="24"/>
          <w:lang w:eastAsia="en-US"/>
        </w:rPr>
      </w:pPr>
      <w:r w:rsidRPr="00AE3F65">
        <w:rPr>
          <w:rFonts w:ascii="Book Antiqua" w:hAnsi="Book Antiqua"/>
          <w:b w:val="0"/>
          <w:bCs/>
          <w:i/>
          <w:iCs/>
          <w:color w:val="000000"/>
          <w:szCs w:val="24"/>
          <w:lang w:eastAsia="en-US"/>
        </w:rPr>
        <w:tab/>
        <w:t>(В случай на акционер физическо лице)</w:t>
      </w:r>
    </w:p>
    <w:p w14:paraId="65D4E2C6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color w:val="000000"/>
          <w:szCs w:val="24"/>
          <w:lang w:eastAsia="en-US"/>
        </w:rPr>
      </w:pPr>
    </w:p>
    <w:p w14:paraId="330CADB5" w14:textId="77777777" w:rsidR="006407B1" w:rsidRPr="00AE3F65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bCs/>
          <w:szCs w:val="24"/>
        </w:rPr>
      </w:pPr>
      <w:r w:rsidRPr="00AE3F65">
        <w:rPr>
          <w:rFonts w:ascii="Book Antiqua" w:hAnsi="Book Antiqua"/>
          <w:b w:val="0"/>
          <w:bCs/>
          <w:szCs w:val="24"/>
        </w:rPr>
        <w:tab/>
        <w:t>Долуподписаният, …………………………, ЕГН ....................., с документ за самоличност № ......................., издаден на .................... г. от ...................., с постоянен адрес: гр. ..............., ул. .......... № ...., ет.........., ап.........., в качеството си на акционер на ................., притежаващ ............ (......................................) броя поименни, безналични акции с право на глас от капитала на „Загора Фининвест“ АД на основание чл. 226 от ТЗ във връзка с чл. 116, ал. 1 от Закона за публично предлагане на ценни книжа</w:t>
      </w:r>
    </w:p>
    <w:p w14:paraId="0870C230" w14:textId="77777777" w:rsidR="006407B1" w:rsidRDefault="006407B1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bCs/>
          <w:color w:val="000000"/>
          <w:szCs w:val="24"/>
        </w:rPr>
      </w:pPr>
    </w:p>
    <w:p w14:paraId="68D65F36" w14:textId="77777777" w:rsidR="00DF1A90" w:rsidRPr="00AE3F65" w:rsidRDefault="00DF1A90" w:rsidP="006407B1">
      <w:pPr>
        <w:pStyle w:val="Title"/>
        <w:tabs>
          <w:tab w:val="clear" w:pos="1080"/>
          <w:tab w:val="clear" w:pos="3960"/>
          <w:tab w:val="left" w:pos="0"/>
        </w:tabs>
        <w:spacing w:line="240" w:lineRule="auto"/>
        <w:ind w:right="11"/>
        <w:jc w:val="both"/>
        <w:rPr>
          <w:rFonts w:ascii="Book Antiqua" w:hAnsi="Book Antiqua"/>
          <w:b w:val="0"/>
          <w:bCs/>
          <w:color w:val="000000"/>
          <w:szCs w:val="24"/>
        </w:rPr>
      </w:pPr>
    </w:p>
    <w:p w14:paraId="030F882B" w14:textId="77777777" w:rsidR="0061624E" w:rsidRPr="00AE3F65" w:rsidRDefault="0061624E" w:rsidP="006407B1">
      <w:pPr>
        <w:jc w:val="both"/>
        <w:rPr>
          <w:rFonts w:ascii="Book Antiqua" w:hAnsi="Book Antiqua"/>
          <w:b/>
          <w:color w:val="000000"/>
          <w:sz w:val="24"/>
          <w:szCs w:val="24"/>
          <w:lang w:val="bg-BG"/>
        </w:rPr>
      </w:pPr>
    </w:p>
    <w:p w14:paraId="05E77C2B" w14:textId="77777777" w:rsidR="006407B1" w:rsidRPr="00AE3F65" w:rsidRDefault="0061624E" w:rsidP="006407B1">
      <w:pPr>
        <w:pStyle w:val="Heading1"/>
        <w:tabs>
          <w:tab w:val="clear" w:pos="1080"/>
          <w:tab w:val="clear" w:pos="3960"/>
          <w:tab w:val="left" w:pos="0"/>
        </w:tabs>
        <w:spacing w:line="240" w:lineRule="auto"/>
        <w:ind w:right="0"/>
        <w:jc w:val="center"/>
        <w:rPr>
          <w:rFonts w:ascii="Book Antiqua" w:hAnsi="Book Antiqua"/>
          <w:b/>
          <w:iCs/>
          <w:color w:val="000000"/>
          <w:szCs w:val="24"/>
        </w:rPr>
      </w:pPr>
      <w:r w:rsidRPr="00AE3F65">
        <w:rPr>
          <w:rFonts w:ascii="Book Antiqua" w:hAnsi="Book Antiqua"/>
          <w:b/>
          <w:iCs/>
          <w:color w:val="000000"/>
          <w:szCs w:val="24"/>
        </w:rPr>
        <w:t>УПЪЛНОМОЩАВА</w:t>
      </w:r>
      <w:r w:rsidR="006407B1" w:rsidRPr="00AE3F65">
        <w:rPr>
          <w:rFonts w:ascii="Book Antiqua" w:hAnsi="Book Antiqua"/>
          <w:b/>
          <w:iCs/>
          <w:color w:val="000000"/>
          <w:szCs w:val="24"/>
        </w:rPr>
        <w:t>М</w:t>
      </w:r>
    </w:p>
    <w:p w14:paraId="1C9326FD" w14:textId="77777777" w:rsidR="006407B1" w:rsidRPr="00AE3F65" w:rsidRDefault="006407B1" w:rsidP="006407B1">
      <w:pPr>
        <w:jc w:val="center"/>
        <w:rPr>
          <w:rFonts w:ascii="Book Antiqua" w:hAnsi="Book Antiqua"/>
          <w:lang w:val="bg-BG" w:eastAsia="x-none"/>
        </w:rPr>
      </w:pPr>
    </w:p>
    <w:p w14:paraId="544B6635" w14:textId="77777777" w:rsidR="004C13CD" w:rsidRPr="00AE3F65" w:rsidRDefault="006407B1" w:rsidP="006407B1">
      <w:pPr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AE3F65">
        <w:rPr>
          <w:rFonts w:ascii="Book Antiqua" w:hAnsi="Book Antiqua"/>
          <w:b/>
          <w:sz w:val="24"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9CD395" w14:textId="77777777" w:rsidR="006407B1" w:rsidRDefault="006407B1" w:rsidP="006407B1">
      <w:pPr>
        <w:jc w:val="both"/>
        <w:rPr>
          <w:rFonts w:ascii="Book Antiqua" w:hAnsi="Book Antiqua"/>
          <w:b/>
          <w:sz w:val="24"/>
          <w:szCs w:val="24"/>
          <w:lang w:val="bg-BG"/>
        </w:rPr>
      </w:pPr>
    </w:p>
    <w:p w14:paraId="7A6DF8DB" w14:textId="77777777" w:rsidR="00DF1A90" w:rsidRPr="00AE3F65" w:rsidRDefault="00DF1A90" w:rsidP="006407B1">
      <w:pPr>
        <w:jc w:val="both"/>
        <w:rPr>
          <w:rFonts w:ascii="Book Antiqua" w:hAnsi="Book Antiqua"/>
          <w:b/>
          <w:sz w:val="24"/>
          <w:szCs w:val="24"/>
          <w:lang w:val="bg-BG"/>
        </w:rPr>
      </w:pPr>
    </w:p>
    <w:p w14:paraId="67F0E1F7" w14:textId="7ADCA50B" w:rsidR="008D441C" w:rsidRPr="00AE3F65" w:rsidRDefault="009475E1" w:rsidP="006407B1">
      <w:pPr>
        <w:ind w:firstLine="720"/>
        <w:jc w:val="both"/>
        <w:rPr>
          <w:rFonts w:ascii="Book Antiqua" w:hAnsi="Book Antiqua"/>
          <w:sz w:val="24"/>
          <w:szCs w:val="24"/>
          <w:lang w:val="bg-BG"/>
        </w:rPr>
      </w:pPr>
      <w:r w:rsidRPr="00AE3F65">
        <w:rPr>
          <w:rFonts w:ascii="Book Antiqua" w:hAnsi="Book Antiqua"/>
          <w:sz w:val="24"/>
          <w:szCs w:val="24"/>
          <w:lang w:val="bg-BG"/>
        </w:rPr>
        <w:t xml:space="preserve">Да представлява </w:t>
      </w:r>
      <w:r w:rsidRPr="00AE3F65">
        <w:rPr>
          <w:rFonts w:ascii="Book Antiqua" w:hAnsi="Book Antiqua"/>
          <w:b/>
          <w:sz w:val="24"/>
          <w:szCs w:val="24"/>
          <w:lang w:val="bg-BG"/>
        </w:rPr>
        <w:t>управляван</w:t>
      </w:r>
      <w:r w:rsidR="004C13CD" w:rsidRPr="00AE3F65">
        <w:rPr>
          <w:rFonts w:ascii="Book Antiqua" w:hAnsi="Book Antiqua"/>
          <w:b/>
          <w:sz w:val="24"/>
          <w:szCs w:val="24"/>
          <w:lang w:val="bg-BG"/>
        </w:rPr>
        <w:t>о</w:t>
      </w:r>
      <w:r w:rsidRPr="00AE3F65">
        <w:rPr>
          <w:rFonts w:ascii="Book Antiqua" w:hAnsi="Book Antiqua"/>
          <w:b/>
          <w:sz w:val="24"/>
          <w:szCs w:val="24"/>
          <w:lang w:val="bg-BG"/>
        </w:rPr>
        <w:t xml:space="preserve">то от </w:t>
      </w:r>
      <w:r w:rsidR="004C13CD" w:rsidRPr="00AE3F65">
        <w:rPr>
          <w:rFonts w:ascii="Book Antiqua" w:hAnsi="Book Antiqua"/>
          <w:b/>
          <w:sz w:val="24"/>
          <w:szCs w:val="24"/>
          <w:lang w:val="bg-BG"/>
        </w:rPr>
        <w:t xml:space="preserve">мен дружество/ да ме представлява </w:t>
      </w:r>
      <w:r w:rsidR="004C13CD" w:rsidRPr="00AE3F65">
        <w:rPr>
          <w:rFonts w:ascii="Book Antiqua" w:hAnsi="Book Antiqua"/>
          <w:sz w:val="24"/>
          <w:szCs w:val="24"/>
          <w:lang w:val="bg-BG"/>
        </w:rPr>
        <w:t>на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</w:t>
      </w:r>
      <w:r w:rsidR="00E90EEF" w:rsidRPr="00AE3F65">
        <w:rPr>
          <w:rFonts w:ascii="Book Antiqua" w:hAnsi="Book Antiqua"/>
          <w:sz w:val="24"/>
          <w:szCs w:val="24"/>
          <w:lang w:val="bg-BG"/>
        </w:rPr>
        <w:t>редовно О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бщо събрание на акционерите на </w:t>
      </w:r>
      <w:r w:rsidR="007C5672" w:rsidRPr="00AE3F65">
        <w:rPr>
          <w:rFonts w:ascii="Book Antiqua" w:hAnsi="Book Antiqua"/>
          <w:bCs/>
          <w:sz w:val="24"/>
          <w:szCs w:val="24"/>
          <w:lang w:val="bg-BG"/>
        </w:rPr>
        <w:t>„Загора Фининвест“ АД</w:t>
      </w:r>
      <w:r w:rsidRPr="00AE3F65">
        <w:rPr>
          <w:rFonts w:ascii="Book Antiqua" w:hAnsi="Book Antiqua"/>
          <w:sz w:val="24"/>
          <w:szCs w:val="24"/>
          <w:lang w:val="bg-BG"/>
        </w:rPr>
        <w:t>,</w:t>
      </w:r>
      <w:r w:rsidR="007257CF" w:rsidRPr="007257CF">
        <w:rPr>
          <w:rStyle w:val="Heading1Char"/>
          <w:rFonts w:ascii="Book Antiqua" w:hAnsi="Book Antiqua"/>
          <w:iCs/>
          <w:szCs w:val="24"/>
          <w:lang w:val="en-US"/>
        </w:rPr>
        <w:t xml:space="preserve"> </w:t>
      </w:r>
      <w:r w:rsidR="007257CF" w:rsidRPr="004E517F">
        <w:rPr>
          <w:rStyle w:val="Bodytext2"/>
          <w:rFonts w:ascii="Book Antiqua" w:hAnsi="Book Antiqua"/>
          <w:iCs/>
          <w:szCs w:val="24"/>
        </w:rPr>
        <w:t xml:space="preserve">с уникален идентификационен код </w:t>
      </w:r>
      <w:r w:rsidR="004F57D8" w:rsidRPr="004F57D8">
        <w:rPr>
          <w:rStyle w:val="Bodytext2"/>
          <w:rFonts w:ascii="Book Antiqua" w:hAnsi="Book Antiqua"/>
          <w:szCs w:val="24"/>
        </w:rPr>
        <w:t>18112024ZAFA</w:t>
      </w:r>
      <w:r w:rsidR="007257CF" w:rsidRPr="004F57D8">
        <w:rPr>
          <w:rStyle w:val="Bodytext2"/>
          <w:rFonts w:ascii="Book Antiqua" w:hAnsi="Book Antiqua"/>
          <w:iCs/>
          <w:szCs w:val="24"/>
        </w:rPr>
        <w:t>,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което ще се проведе </w:t>
      </w:r>
      <w:r w:rsidR="0061624E" w:rsidRPr="00AE3F65">
        <w:rPr>
          <w:rFonts w:ascii="Book Antiqua" w:hAnsi="Book Antiqua"/>
          <w:sz w:val="24"/>
          <w:szCs w:val="24"/>
          <w:lang w:val="bg-BG"/>
        </w:rPr>
        <w:t xml:space="preserve">на </w:t>
      </w:r>
      <w:r w:rsidR="004F57D8">
        <w:rPr>
          <w:rFonts w:ascii="Book Antiqua" w:hAnsi="Book Antiqua"/>
          <w:b/>
          <w:bCs/>
          <w:sz w:val="24"/>
          <w:szCs w:val="24"/>
          <w:lang w:val="bg-BG"/>
        </w:rPr>
        <w:t>18.11</w:t>
      </w:r>
      <w:r w:rsidR="00671B8A" w:rsidRPr="007257CF">
        <w:rPr>
          <w:rFonts w:ascii="Book Antiqua" w:hAnsi="Book Antiqua"/>
          <w:b/>
          <w:bCs/>
          <w:sz w:val="24"/>
          <w:szCs w:val="24"/>
          <w:lang w:val="bg-BG"/>
        </w:rPr>
        <w:t>.202</w:t>
      </w:r>
      <w:r w:rsidR="00A76BDE">
        <w:rPr>
          <w:rFonts w:ascii="Book Antiqua" w:hAnsi="Book Antiqua"/>
          <w:b/>
          <w:bCs/>
          <w:sz w:val="24"/>
          <w:szCs w:val="24"/>
          <w:lang w:val="bg-BG"/>
        </w:rPr>
        <w:t>4</w:t>
      </w:r>
      <w:r w:rsidR="0061624E" w:rsidRPr="007257CF">
        <w:rPr>
          <w:rFonts w:ascii="Book Antiqua" w:hAnsi="Book Antiqua"/>
          <w:b/>
          <w:bCs/>
          <w:sz w:val="24"/>
          <w:szCs w:val="24"/>
          <w:lang w:val="bg-BG"/>
        </w:rPr>
        <w:t xml:space="preserve"> г., </w:t>
      </w:r>
      <w:r w:rsidRPr="007257CF">
        <w:rPr>
          <w:rFonts w:ascii="Book Antiqua" w:hAnsi="Book Antiqua"/>
          <w:b/>
          <w:bCs/>
          <w:sz w:val="24"/>
          <w:szCs w:val="24"/>
          <w:lang w:val="bg-BG"/>
        </w:rPr>
        <w:t xml:space="preserve">в </w:t>
      </w:r>
      <w:r w:rsidR="00C0430B" w:rsidRPr="007257CF">
        <w:rPr>
          <w:rFonts w:ascii="Book Antiqua" w:hAnsi="Book Antiqua"/>
          <w:b/>
          <w:bCs/>
          <w:sz w:val="24"/>
          <w:szCs w:val="24"/>
          <w:lang w:val="bg-BG"/>
        </w:rPr>
        <w:t>1</w:t>
      </w:r>
      <w:r w:rsidR="00671B8A" w:rsidRPr="007257CF">
        <w:rPr>
          <w:rFonts w:ascii="Book Antiqua" w:hAnsi="Book Antiqua"/>
          <w:b/>
          <w:bCs/>
          <w:sz w:val="24"/>
          <w:szCs w:val="24"/>
          <w:lang w:val="bg-BG"/>
        </w:rPr>
        <w:t>1</w:t>
      </w:r>
      <w:r w:rsidR="00C0430B" w:rsidRPr="007257CF">
        <w:rPr>
          <w:rFonts w:ascii="Book Antiqua" w:hAnsi="Book Antiqua"/>
          <w:b/>
          <w:bCs/>
          <w:sz w:val="24"/>
          <w:szCs w:val="24"/>
          <w:lang w:val="bg-BG"/>
        </w:rPr>
        <w:t>:</w:t>
      </w:r>
      <w:r w:rsidR="00671B8A" w:rsidRPr="007257CF">
        <w:rPr>
          <w:rFonts w:ascii="Book Antiqua" w:hAnsi="Book Antiqua"/>
          <w:b/>
          <w:bCs/>
          <w:sz w:val="24"/>
          <w:szCs w:val="24"/>
          <w:lang w:val="bg-BG"/>
        </w:rPr>
        <w:t>0</w:t>
      </w:r>
      <w:r w:rsidR="00142BE9" w:rsidRPr="007257CF">
        <w:rPr>
          <w:rFonts w:ascii="Book Antiqua" w:hAnsi="Book Antiqua"/>
          <w:b/>
          <w:bCs/>
          <w:sz w:val="24"/>
          <w:szCs w:val="24"/>
          <w:lang w:val="bg-BG"/>
        </w:rPr>
        <w:t xml:space="preserve">0 </w:t>
      </w:r>
      <w:r w:rsidR="0061624E" w:rsidRPr="007257CF">
        <w:rPr>
          <w:rFonts w:ascii="Book Antiqua" w:hAnsi="Book Antiqua"/>
          <w:b/>
          <w:bCs/>
          <w:sz w:val="24"/>
          <w:szCs w:val="24"/>
          <w:lang w:val="bg-BG"/>
        </w:rPr>
        <w:t xml:space="preserve">часа </w:t>
      </w:r>
      <w:r w:rsidR="00671B8A" w:rsidRPr="00AE3F65">
        <w:rPr>
          <w:rFonts w:ascii="Book Antiqua" w:hAnsi="Book Antiqua"/>
          <w:sz w:val="24"/>
          <w:szCs w:val="24"/>
          <w:lang w:val="bg-BG"/>
        </w:rPr>
        <w:t xml:space="preserve">местно време и </w:t>
      </w:r>
      <w:r w:rsidR="00671B8A" w:rsidRPr="00AE3F65">
        <w:rPr>
          <w:rStyle w:val="Bodytext2"/>
          <w:rFonts w:ascii="Book Antiqua" w:hAnsi="Book Antiqua"/>
          <w:iCs/>
          <w:szCs w:val="24"/>
        </w:rPr>
        <w:t>09:00 ч. координирано универсално време (UTC)</w:t>
      </w:r>
      <w:r w:rsidR="00671B8A" w:rsidRPr="00AE3F65">
        <w:rPr>
          <w:rFonts w:ascii="Book Antiqua" w:hAnsi="Book Antiqua"/>
          <w:sz w:val="24"/>
          <w:szCs w:val="24"/>
          <w:lang w:val="bg-BG"/>
        </w:rPr>
        <w:t xml:space="preserve"> 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в </w:t>
      </w:r>
      <w:r w:rsidR="00893D96" w:rsidRPr="00AE3F65">
        <w:rPr>
          <w:rFonts w:ascii="Book Antiqua" w:hAnsi="Book Antiqua"/>
          <w:sz w:val="24"/>
          <w:szCs w:val="24"/>
          <w:lang w:val="bg-BG"/>
        </w:rPr>
        <w:t xml:space="preserve">гр. </w:t>
      </w:r>
      <w:r w:rsidR="00535A1A" w:rsidRPr="00AE3F65">
        <w:rPr>
          <w:rFonts w:ascii="Book Antiqua" w:hAnsi="Book Antiqua"/>
          <w:sz w:val="24"/>
          <w:szCs w:val="24"/>
          <w:lang w:val="bg-BG"/>
        </w:rPr>
        <w:t>София</w:t>
      </w:r>
      <w:r w:rsidR="00893D96" w:rsidRPr="00AE3F65">
        <w:rPr>
          <w:rFonts w:ascii="Book Antiqua" w:hAnsi="Book Antiqua"/>
          <w:sz w:val="24"/>
          <w:szCs w:val="24"/>
          <w:lang w:val="bg-BG"/>
        </w:rPr>
        <w:t>, ул. „</w:t>
      </w:r>
      <w:r w:rsidR="007C5672" w:rsidRPr="00AE3F65">
        <w:rPr>
          <w:rFonts w:ascii="Book Antiqua" w:hAnsi="Book Antiqua"/>
          <w:sz w:val="24"/>
          <w:szCs w:val="24"/>
          <w:lang w:val="bg-BG"/>
        </w:rPr>
        <w:t>Апостол Карамитев</w:t>
      </w:r>
      <w:r w:rsidR="00893D96" w:rsidRPr="00AE3F65">
        <w:rPr>
          <w:rFonts w:ascii="Book Antiqua" w:hAnsi="Book Antiqua"/>
          <w:sz w:val="24"/>
          <w:szCs w:val="24"/>
          <w:lang w:val="bg-BG"/>
        </w:rPr>
        <w:t xml:space="preserve">” № </w:t>
      </w:r>
      <w:r w:rsidR="007C5672" w:rsidRPr="00AE3F65">
        <w:rPr>
          <w:rFonts w:ascii="Book Antiqua" w:hAnsi="Book Antiqua"/>
          <w:sz w:val="24"/>
          <w:szCs w:val="24"/>
          <w:lang w:val="bg-BG"/>
        </w:rPr>
        <w:t>16</w:t>
      </w:r>
      <w:r w:rsidRPr="00AE3F65">
        <w:rPr>
          <w:rFonts w:ascii="Book Antiqua" w:hAnsi="Book Antiqua"/>
          <w:sz w:val="24"/>
          <w:szCs w:val="24"/>
          <w:lang w:val="bg-BG"/>
        </w:rPr>
        <w:t>, а</w:t>
      </w:r>
      <w:r w:rsidR="00C0430B" w:rsidRPr="00AE3F65">
        <w:rPr>
          <w:rFonts w:ascii="Book Antiqua" w:hAnsi="Book Antiqua"/>
          <w:sz w:val="24"/>
          <w:szCs w:val="24"/>
          <w:lang w:val="bg-BG"/>
        </w:rPr>
        <w:t xml:space="preserve"> при липса на кворум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на тази дата за пров</w:t>
      </w:r>
      <w:r w:rsidR="00885CF3" w:rsidRPr="00AE3F65">
        <w:rPr>
          <w:rFonts w:ascii="Book Antiqua" w:hAnsi="Book Antiqua"/>
          <w:sz w:val="24"/>
          <w:szCs w:val="24"/>
          <w:lang w:val="bg-BG"/>
        </w:rPr>
        <w:t>еждане на ОСА</w:t>
      </w:r>
      <w:r w:rsidR="00C0430B" w:rsidRPr="00AE3F65">
        <w:rPr>
          <w:rFonts w:ascii="Book Antiqua" w:hAnsi="Book Antiqua"/>
          <w:sz w:val="24"/>
          <w:szCs w:val="24"/>
          <w:lang w:val="bg-BG"/>
        </w:rPr>
        <w:t>,</w:t>
      </w:r>
      <w:r w:rsidR="00885CF3" w:rsidRPr="00AE3F65">
        <w:rPr>
          <w:rFonts w:ascii="Book Antiqua" w:hAnsi="Book Antiqua"/>
          <w:sz w:val="24"/>
          <w:szCs w:val="24"/>
          <w:lang w:val="bg-BG"/>
        </w:rPr>
        <w:t xml:space="preserve"> ще се проведе на </w:t>
      </w:r>
      <w:r w:rsidR="004F57D8">
        <w:rPr>
          <w:rFonts w:ascii="Book Antiqua" w:hAnsi="Book Antiqua"/>
          <w:sz w:val="24"/>
          <w:szCs w:val="24"/>
          <w:lang w:val="bg-BG"/>
        </w:rPr>
        <w:t>0</w:t>
      </w:r>
      <w:r w:rsidR="00C73A76">
        <w:rPr>
          <w:rFonts w:ascii="Book Antiqua" w:hAnsi="Book Antiqua"/>
          <w:sz w:val="24"/>
          <w:szCs w:val="24"/>
          <w:lang w:val="bg-BG"/>
        </w:rPr>
        <w:t>3</w:t>
      </w:r>
      <w:r w:rsidR="004F57D8">
        <w:rPr>
          <w:rFonts w:ascii="Book Antiqua" w:hAnsi="Book Antiqua"/>
          <w:sz w:val="24"/>
          <w:szCs w:val="24"/>
          <w:lang w:val="bg-BG"/>
        </w:rPr>
        <w:t>.12</w:t>
      </w:r>
      <w:r w:rsidR="00E90EEF" w:rsidRPr="00AE3F65">
        <w:rPr>
          <w:rFonts w:ascii="Book Antiqua" w:hAnsi="Book Antiqua"/>
          <w:sz w:val="24"/>
          <w:szCs w:val="24"/>
          <w:lang w:val="bg-BG"/>
        </w:rPr>
        <w:t>.</w:t>
      </w:r>
      <w:r w:rsidR="00671B8A" w:rsidRPr="00AE3F65">
        <w:rPr>
          <w:rFonts w:ascii="Book Antiqua" w:hAnsi="Book Antiqua"/>
          <w:sz w:val="24"/>
          <w:szCs w:val="24"/>
          <w:lang w:val="bg-BG"/>
        </w:rPr>
        <w:t>202</w:t>
      </w:r>
      <w:r w:rsidR="00A76BDE">
        <w:rPr>
          <w:rFonts w:ascii="Book Antiqua" w:hAnsi="Book Antiqua"/>
          <w:sz w:val="24"/>
          <w:szCs w:val="24"/>
          <w:lang w:val="bg-BG"/>
        </w:rPr>
        <w:t>4</w:t>
      </w:r>
      <w:r w:rsidR="00885CF3" w:rsidRPr="00AE3F65">
        <w:rPr>
          <w:rFonts w:ascii="Book Antiqua" w:hAnsi="Book Antiqua"/>
          <w:sz w:val="24"/>
          <w:szCs w:val="24"/>
          <w:lang w:val="bg-BG"/>
        </w:rPr>
        <w:t xml:space="preserve"> г</w:t>
      </w:r>
      <w:r w:rsidR="0061624E" w:rsidRPr="00AE3F65">
        <w:rPr>
          <w:rFonts w:ascii="Book Antiqua" w:hAnsi="Book Antiqua"/>
          <w:sz w:val="24"/>
          <w:szCs w:val="24"/>
          <w:lang w:val="bg-BG"/>
        </w:rPr>
        <w:t xml:space="preserve">. от </w:t>
      </w:r>
      <w:r w:rsidR="00671B8A" w:rsidRPr="00AE3F65">
        <w:rPr>
          <w:rFonts w:ascii="Book Antiqua" w:hAnsi="Book Antiqua"/>
          <w:sz w:val="24"/>
          <w:szCs w:val="24"/>
          <w:lang w:val="bg-BG"/>
        </w:rPr>
        <w:t xml:space="preserve">11:00 часа местно време и </w:t>
      </w:r>
      <w:r w:rsidR="00671B8A" w:rsidRPr="00AE3F65">
        <w:rPr>
          <w:rStyle w:val="Bodytext2"/>
          <w:rFonts w:ascii="Book Antiqua" w:hAnsi="Book Antiqua"/>
          <w:iCs/>
          <w:szCs w:val="24"/>
        </w:rPr>
        <w:t>09:00 ч. координирано универсално време (UTC),</w:t>
      </w:r>
      <w:r w:rsidR="00671B8A" w:rsidRPr="00AE3F65">
        <w:rPr>
          <w:rFonts w:ascii="Book Antiqua" w:hAnsi="Book Antiqua"/>
          <w:sz w:val="24"/>
          <w:szCs w:val="24"/>
          <w:lang w:val="bg-BG"/>
        </w:rPr>
        <w:t xml:space="preserve"> </w:t>
      </w:r>
      <w:r w:rsidR="0061624E" w:rsidRPr="00AE3F65">
        <w:rPr>
          <w:rFonts w:ascii="Book Antiqua" w:hAnsi="Book Antiqua"/>
          <w:sz w:val="24"/>
          <w:szCs w:val="24"/>
          <w:lang w:val="bg-BG"/>
        </w:rPr>
        <w:t>на същото място при същия дневен ред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и да гласува с ....................... броя акции от капитала на дружество </w:t>
      </w:r>
      <w:r w:rsidR="007C5672" w:rsidRPr="00AE3F65">
        <w:rPr>
          <w:rFonts w:ascii="Book Antiqua" w:hAnsi="Book Antiqua"/>
          <w:bCs/>
          <w:sz w:val="24"/>
          <w:szCs w:val="24"/>
          <w:lang w:val="bg-BG"/>
        </w:rPr>
        <w:t>„Загора Фининвест“ АД</w:t>
      </w:r>
      <w:r w:rsidR="007C5672" w:rsidRPr="00AE3F65">
        <w:rPr>
          <w:rFonts w:ascii="Book Antiqua" w:hAnsi="Book Antiqua"/>
          <w:sz w:val="24"/>
          <w:szCs w:val="24"/>
          <w:lang w:val="bg-BG"/>
        </w:rPr>
        <w:t xml:space="preserve"> </w:t>
      </w:r>
      <w:r w:rsidRPr="00AE3F65">
        <w:rPr>
          <w:rFonts w:ascii="Book Antiqua" w:hAnsi="Book Antiqua"/>
          <w:sz w:val="24"/>
          <w:szCs w:val="24"/>
          <w:lang w:val="bg-BG"/>
        </w:rPr>
        <w:t>по въпросите от дневния ред</w:t>
      </w:r>
      <w:r w:rsidR="000218B6" w:rsidRPr="00AE3F65">
        <w:rPr>
          <w:rFonts w:ascii="Book Antiqua" w:hAnsi="Book Antiqua"/>
          <w:sz w:val="24"/>
          <w:szCs w:val="24"/>
          <w:lang w:val="bg-BG"/>
        </w:rPr>
        <w:t>,</w:t>
      </w:r>
      <w:r w:rsidRPr="00AE3F65">
        <w:rPr>
          <w:rFonts w:ascii="Book Antiqua" w:hAnsi="Book Antiqua"/>
          <w:sz w:val="24"/>
          <w:szCs w:val="24"/>
          <w:lang w:val="bg-BG"/>
        </w:rPr>
        <w:t xml:space="preserve"> съгласно указания по-долу начин, а именно</w:t>
      </w:r>
      <w:r w:rsidR="008D441C" w:rsidRPr="00AE3F65">
        <w:rPr>
          <w:rFonts w:ascii="Book Antiqua" w:hAnsi="Book Antiqua"/>
          <w:sz w:val="24"/>
          <w:szCs w:val="24"/>
          <w:lang w:val="bg-BG"/>
        </w:rPr>
        <w:t>:</w:t>
      </w:r>
    </w:p>
    <w:p w14:paraId="1F19BD0A" w14:textId="77777777" w:rsidR="00671B8A" w:rsidRPr="00AE3F65" w:rsidRDefault="00671B8A" w:rsidP="006407B1">
      <w:pPr>
        <w:ind w:firstLine="720"/>
        <w:jc w:val="both"/>
        <w:rPr>
          <w:rFonts w:ascii="Book Antiqua" w:hAnsi="Book Antiqua"/>
          <w:sz w:val="24"/>
          <w:szCs w:val="24"/>
          <w:lang w:val="bg-BG"/>
        </w:rPr>
      </w:pPr>
    </w:p>
    <w:p w14:paraId="25CDAE78" w14:textId="77777777" w:rsidR="004F57D8" w:rsidRPr="00707083" w:rsidRDefault="004F57D8" w:rsidP="004F57D8">
      <w:pPr>
        <w:pStyle w:val="30"/>
        <w:keepNext/>
        <w:keepLines/>
        <w:numPr>
          <w:ilvl w:val="0"/>
          <w:numId w:val="7"/>
        </w:numPr>
        <w:tabs>
          <w:tab w:val="left" w:pos="1023"/>
        </w:tabs>
        <w:spacing w:line="240" w:lineRule="auto"/>
        <w:jc w:val="both"/>
        <w:rPr>
          <w:i w:val="0"/>
          <w:iCs w:val="0"/>
          <w:sz w:val="24"/>
          <w:szCs w:val="24"/>
          <w:lang w:val="bg-BG"/>
        </w:rPr>
      </w:pPr>
      <w:r w:rsidRPr="00707083">
        <w:rPr>
          <w:i w:val="0"/>
          <w:iCs w:val="0"/>
          <w:sz w:val="24"/>
          <w:szCs w:val="24"/>
          <w:lang w:val="bg-BG"/>
        </w:rPr>
        <w:lastRenderedPageBreak/>
        <w:t xml:space="preserve">  </w:t>
      </w:r>
      <w:bookmarkStart w:id="0" w:name="bookmark6"/>
      <w:r w:rsidRPr="00707083">
        <w:rPr>
          <w:i w:val="0"/>
          <w:iCs w:val="0"/>
          <w:sz w:val="24"/>
          <w:szCs w:val="24"/>
          <w:lang w:val="bg-BG"/>
        </w:rPr>
        <w:t>Вземане на решение за допускане на „ЗАГОРА ФИНИНВЕСТ” АД до сегмент „Пазар за растеж“, организиран от MTF- София- многостранна система за търговия, организирана от „Капман“ АД, при спазване на изискванията на закона и подзаконовата нормативна уредба по прилагането му, вкл. но не само на Правилата за дейността на сегмент „Пазар за растеж“ /Growth Market - GM/ (Сегмент на MTF SOFIA).</w:t>
      </w:r>
      <w:bookmarkEnd w:id="0"/>
    </w:p>
    <w:p w14:paraId="5EAB0536" w14:textId="77777777" w:rsidR="004F57D8" w:rsidRPr="00707083" w:rsidRDefault="004F57D8" w:rsidP="004F57D8">
      <w:pPr>
        <w:pStyle w:val="1"/>
        <w:spacing w:before="0" w:after="0" w:line="240" w:lineRule="auto"/>
        <w:rPr>
          <w:rFonts w:ascii="Book Antiqua" w:hAnsi="Book Antiqua"/>
          <w:i/>
          <w:iCs/>
          <w:lang w:val="bg-BG"/>
        </w:rPr>
      </w:pPr>
      <w:r w:rsidRPr="00707083">
        <w:rPr>
          <w:rFonts w:ascii="Book Antiqua" w:hAnsi="Book Antiqua"/>
          <w:i/>
          <w:iCs/>
          <w:u w:val="single"/>
          <w:lang w:val="bg-BG"/>
        </w:rPr>
        <w:t>Проект за решение:</w:t>
      </w:r>
      <w:r w:rsidRPr="00707083">
        <w:rPr>
          <w:rFonts w:ascii="Book Antiqua" w:hAnsi="Book Antiqua"/>
          <w:i/>
          <w:iCs/>
          <w:lang w:val="bg-BG"/>
        </w:rPr>
        <w:t xml:space="preserve"> Общо събрание на акционерите приема решение за допускане на „ЗАГОРА ФИНИНВЕСТ“ АД, до сегмент „Пазар за растеж“, организиран от MTF- София- многостранна система за търговия, организирана от „Капман“ АД, при спазване на изискванията на закона и подзаконовата нормативна уредба по прилагането му, вкл. но не само на Правилата за дейността на сегмент „Пазар за растеж“ /Growth Market - GM/ (Сегмент на MTFSOFIA)“;</w:t>
      </w:r>
    </w:p>
    <w:p w14:paraId="61F3DDBA" w14:textId="77777777" w:rsidR="004F57D8" w:rsidRPr="00707083" w:rsidRDefault="004F57D8" w:rsidP="004F57D8">
      <w:pPr>
        <w:pStyle w:val="1"/>
        <w:spacing w:before="0" w:after="0" w:line="240" w:lineRule="auto"/>
        <w:rPr>
          <w:rFonts w:ascii="Book Antiqua" w:hAnsi="Book Antiqua"/>
          <w:i/>
          <w:iCs/>
          <w:lang w:val="bg-BG"/>
        </w:rPr>
      </w:pPr>
    </w:p>
    <w:p w14:paraId="638E2519" w14:textId="77777777" w:rsidR="004F57D8" w:rsidRPr="00707083" w:rsidRDefault="004F57D8" w:rsidP="004F57D8">
      <w:pPr>
        <w:pStyle w:val="1"/>
        <w:widowControl w:val="0"/>
        <w:numPr>
          <w:ilvl w:val="0"/>
          <w:numId w:val="7"/>
        </w:numPr>
        <w:shd w:val="clear" w:color="auto" w:fill="auto"/>
        <w:tabs>
          <w:tab w:val="left" w:pos="1134"/>
        </w:tabs>
        <w:suppressAutoHyphens w:val="0"/>
        <w:spacing w:before="0" w:after="0" w:line="240" w:lineRule="auto"/>
        <w:ind w:firstLine="709"/>
        <w:rPr>
          <w:rFonts w:ascii="Book Antiqua" w:hAnsi="Book Antiqua"/>
          <w:lang w:val="bg-BG"/>
        </w:rPr>
      </w:pPr>
      <w:r w:rsidRPr="00707083">
        <w:rPr>
          <w:rFonts w:ascii="Book Antiqua" w:hAnsi="Book Antiqua"/>
          <w:b/>
          <w:bCs/>
          <w:lang w:val="bg-BG"/>
        </w:rPr>
        <w:t xml:space="preserve">Вземане на решение за предприемане на всякакви фактически и правни действия с оглед изпълнение на решението по т. 1 по-горе, в това число и действия по приемане на нов устав на „ЗАГОРА ФИНИНВЕСТ“ АД, под условие, съдържащ текстове, отнасящи се до сегмент „Пазар за растеж“, организиран от MTF- София- многостранна система за търговия, организирана от Капман АД и съгласно Правилата за дейността на сегмент „Пазар за растеж“ /Growth Market - GM/ (Сегмент на MTF SOFIA), който нов устав да влиза в сила и да се прилага след допускане на „ЗАГОРА ФИНИНВЕСТ“ АД до търговия на този пазар, което обстоятелство следва да бъде удостоверено с надлежно решение от компетентния орган на управление на „Капман“ АД, както и подаване на документи за допускане на емисията финансови инструменти на многостранна система за търговия (МТФ). </w:t>
      </w:r>
    </w:p>
    <w:p w14:paraId="5F322BF0" w14:textId="77777777" w:rsidR="004F57D8" w:rsidRPr="00707083" w:rsidRDefault="004F57D8" w:rsidP="004F57D8">
      <w:pPr>
        <w:pStyle w:val="1"/>
        <w:tabs>
          <w:tab w:val="left" w:pos="1134"/>
        </w:tabs>
        <w:spacing w:before="0" w:after="0" w:line="240" w:lineRule="auto"/>
        <w:rPr>
          <w:rFonts w:ascii="Book Antiqua" w:hAnsi="Book Antiqua"/>
          <w:i/>
          <w:iCs/>
          <w:lang w:val="bg-BG"/>
        </w:rPr>
      </w:pPr>
      <w:r w:rsidRPr="00707083">
        <w:rPr>
          <w:rFonts w:ascii="Book Antiqua" w:hAnsi="Book Antiqua"/>
          <w:i/>
          <w:iCs/>
          <w:u w:val="single"/>
          <w:lang w:val="bg-BG"/>
        </w:rPr>
        <w:t>Проект за решение:</w:t>
      </w:r>
      <w:r w:rsidRPr="00707083">
        <w:rPr>
          <w:rFonts w:ascii="Book Antiqua" w:hAnsi="Book Antiqua"/>
          <w:i/>
          <w:iCs/>
          <w:lang w:val="bg-BG"/>
        </w:rPr>
        <w:t xml:space="preserve"> Общото събрание на акционерите възлага на Съвета на директорите да предприеме съответно необходимите правни и фактически действия за реализация решението по т. 1 по-горе, в това число и действия по приемане на нов устав на „ЗАГОРА ФИНИНВЕСТ" АД, под условие, съдържащ текстове, отнасящи се до сегмент „Пазар за растеж“, организиран от MTF- София- многостранна система за търговия, организирана от Капман АД и съгласно Правилата за дейността на сегмент „Пазар за растеж“ /Growth Market - GM/ (Сегмент на MTF SOFIA), който нов устав да влиза в сила и да се прилага след допускане на „ЗАГОРА ФИНИНВЕСТ" АД до търговия на този пазар, което обстоятелство следва да бъде удостоверено с надлежно решение от компетентния орган на управление на Капман АД, както и подаване на документи за допускане на емисията финансови инструменти на многостранна система за търговия (МТФ).</w:t>
      </w:r>
    </w:p>
    <w:p w14:paraId="22CC79B2" w14:textId="77777777" w:rsidR="004F57D8" w:rsidRPr="00707083" w:rsidRDefault="004F57D8" w:rsidP="004F57D8">
      <w:pPr>
        <w:pStyle w:val="1"/>
        <w:tabs>
          <w:tab w:val="left" w:pos="1134"/>
        </w:tabs>
        <w:spacing w:before="0" w:after="0" w:line="240" w:lineRule="auto"/>
        <w:rPr>
          <w:rFonts w:ascii="Book Antiqua" w:hAnsi="Book Antiqua"/>
          <w:i/>
          <w:iCs/>
          <w:lang w:val="bg-BG"/>
        </w:rPr>
      </w:pPr>
    </w:p>
    <w:p w14:paraId="19655D89" w14:textId="77777777" w:rsidR="004F57D8" w:rsidRPr="00707083" w:rsidRDefault="004F57D8" w:rsidP="004F57D8">
      <w:pPr>
        <w:pStyle w:val="1"/>
        <w:widowControl w:val="0"/>
        <w:numPr>
          <w:ilvl w:val="0"/>
          <w:numId w:val="7"/>
        </w:numPr>
        <w:shd w:val="clear" w:color="auto" w:fill="auto"/>
        <w:tabs>
          <w:tab w:val="left" w:pos="993"/>
        </w:tabs>
        <w:suppressAutoHyphens w:val="0"/>
        <w:spacing w:before="0" w:after="0" w:line="240" w:lineRule="auto"/>
        <w:ind w:firstLine="709"/>
        <w:rPr>
          <w:rFonts w:ascii="Book Antiqua" w:hAnsi="Book Antiqua"/>
          <w:lang w:val="bg-BG"/>
        </w:rPr>
      </w:pPr>
      <w:r w:rsidRPr="00707083">
        <w:rPr>
          <w:rFonts w:ascii="Book Antiqua" w:hAnsi="Book Antiqua"/>
          <w:b/>
          <w:bCs/>
          <w:lang w:val="bg-BG"/>
        </w:rPr>
        <w:t>Приемане на решение за промяна на адреса на управление на Дружеството</w:t>
      </w:r>
      <w:r w:rsidRPr="00707083">
        <w:rPr>
          <w:rFonts w:ascii="Book Antiqua" w:hAnsi="Book Antiqua"/>
          <w:lang w:val="bg-BG"/>
        </w:rPr>
        <w:t>.</w:t>
      </w:r>
    </w:p>
    <w:p w14:paraId="60C20944" w14:textId="77777777" w:rsidR="004F57D8" w:rsidRPr="00707083" w:rsidRDefault="004F57D8" w:rsidP="004F57D8">
      <w:pPr>
        <w:pStyle w:val="1"/>
        <w:tabs>
          <w:tab w:val="left" w:pos="993"/>
        </w:tabs>
        <w:spacing w:before="0" w:after="0" w:line="240" w:lineRule="auto"/>
        <w:rPr>
          <w:rFonts w:ascii="Book Antiqua" w:hAnsi="Book Antiqua"/>
          <w:i/>
          <w:iCs/>
          <w:lang w:val="bg-BG"/>
        </w:rPr>
      </w:pPr>
      <w:r w:rsidRPr="00707083">
        <w:rPr>
          <w:rFonts w:ascii="Book Antiqua" w:hAnsi="Book Antiqua"/>
          <w:i/>
          <w:iCs/>
          <w:u w:val="single"/>
          <w:lang w:val="bg-BG"/>
        </w:rPr>
        <w:t>Проект за решение:</w:t>
      </w:r>
      <w:r w:rsidRPr="00707083">
        <w:rPr>
          <w:rFonts w:ascii="Book Antiqua" w:hAnsi="Book Antiqua"/>
          <w:i/>
          <w:iCs/>
          <w:lang w:val="bg-BG"/>
        </w:rPr>
        <w:t xml:space="preserve"> ОСА приема решение да се промени адреса на управление на Дружеството, като същият бъде преместен в гр. София, жк. „Овча купел“ 1, бл. 412А, вх. Б, ет. 6, ап. 35.</w:t>
      </w:r>
    </w:p>
    <w:p w14:paraId="0EEA4DE6" w14:textId="77777777" w:rsidR="004F57D8" w:rsidRPr="00707083" w:rsidRDefault="004F57D8" w:rsidP="004F57D8">
      <w:pPr>
        <w:pStyle w:val="1"/>
        <w:tabs>
          <w:tab w:val="left" w:pos="993"/>
        </w:tabs>
        <w:spacing w:before="0" w:after="0" w:line="240" w:lineRule="auto"/>
        <w:rPr>
          <w:rFonts w:ascii="Book Antiqua" w:hAnsi="Book Antiqua"/>
          <w:lang w:val="bg-BG"/>
        </w:rPr>
      </w:pPr>
    </w:p>
    <w:p w14:paraId="4DBB1C03" w14:textId="77777777" w:rsidR="004F57D8" w:rsidRPr="00707083" w:rsidRDefault="004F57D8" w:rsidP="004F57D8">
      <w:pPr>
        <w:pStyle w:val="1"/>
        <w:widowControl w:val="0"/>
        <w:numPr>
          <w:ilvl w:val="0"/>
          <w:numId w:val="7"/>
        </w:numPr>
        <w:shd w:val="clear" w:color="auto" w:fill="auto"/>
        <w:tabs>
          <w:tab w:val="left" w:pos="1027"/>
        </w:tabs>
        <w:suppressAutoHyphens w:val="0"/>
        <w:spacing w:before="0" w:after="0" w:line="240" w:lineRule="auto"/>
        <w:ind w:firstLine="780"/>
        <w:rPr>
          <w:rFonts w:ascii="Book Antiqua" w:hAnsi="Book Antiqua"/>
          <w:lang w:val="bg-BG"/>
        </w:rPr>
      </w:pPr>
      <w:r w:rsidRPr="00707083">
        <w:rPr>
          <w:rFonts w:ascii="Book Antiqua" w:hAnsi="Book Antiqua"/>
          <w:b/>
          <w:bCs/>
          <w:lang w:val="bg-BG"/>
        </w:rPr>
        <w:t xml:space="preserve">Вземане на решение за приемане на промени, изменения и допълнения в Устава на „ЗАГОРА ФИНИНВЕСТ“ АД, свързани с решенията по т. 1, т. 2 и т. 3 по-горе, съгласно проект на Устава, неразделна част към настоящия протокол за решения. </w:t>
      </w:r>
    </w:p>
    <w:p w14:paraId="1E2E866B" w14:textId="77777777" w:rsidR="004F57D8" w:rsidRPr="00707083" w:rsidRDefault="004F57D8" w:rsidP="004F57D8">
      <w:pPr>
        <w:pStyle w:val="1"/>
        <w:tabs>
          <w:tab w:val="left" w:pos="1027"/>
        </w:tabs>
        <w:spacing w:before="0" w:after="0" w:line="240" w:lineRule="auto"/>
        <w:rPr>
          <w:rFonts w:ascii="Book Antiqua" w:hAnsi="Book Antiqua"/>
          <w:i/>
          <w:iCs/>
          <w:lang w:val="bg-BG"/>
        </w:rPr>
      </w:pPr>
      <w:r w:rsidRPr="00707083">
        <w:rPr>
          <w:rFonts w:ascii="Book Antiqua" w:hAnsi="Book Antiqua"/>
          <w:i/>
          <w:iCs/>
          <w:u w:val="single"/>
          <w:lang w:val="bg-BG"/>
        </w:rPr>
        <w:t xml:space="preserve">Проект за решение: </w:t>
      </w:r>
      <w:r w:rsidRPr="00707083">
        <w:rPr>
          <w:rFonts w:ascii="Book Antiqua" w:hAnsi="Book Antiqua"/>
          <w:i/>
          <w:iCs/>
          <w:lang w:val="bg-BG"/>
        </w:rPr>
        <w:t xml:space="preserve">Общото събрание на акционерите одобрява и приема проект за изменения и допълнения в Устава на „ЗАГОРА ФИНИНВЕСТ“ АД, свързани с решенията по т. 1 , т. 2 и т. 3 по-горе,  неразделна част към настоящия протокол за решения. </w:t>
      </w:r>
    </w:p>
    <w:p w14:paraId="43E4B6FB" w14:textId="77777777" w:rsidR="00971046" w:rsidRPr="007257CF" w:rsidRDefault="00971046" w:rsidP="006407B1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Book Antiqua" w:hAnsi="Book Antiqua"/>
          <w:color w:val="FF0000"/>
          <w:shd w:val="clear" w:color="auto" w:fill="FFFFFF"/>
          <w:lang w:val="bg-BG"/>
        </w:rPr>
      </w:pPr>
      <w:r w:rsidRPr="007257CF">
        <w:rPr>
          <w:rFonts w:ascii="Book Antiqua" w:hAnsi="Book Antiqua"/>
          <w:shd w:val="clear" w:color="auto" w:fill="FFFFFF"/>
          <w:lang w:val="bg-BG"/>
        </w:rPr>
        <w:t xml:space="preserve"> </w:t>
      </w:r>
      <w:r w:rsidRPr="007257CF">
        <w:rPr>
          <w:rFonts w:ascii="Book Antiqua" w:hAnsi="Book Antiqua"/>
          <w:color w:val="FF0000"/>
          <w:shd w:val="clear" w:color="auto" w:fill="FFFFFF"/>
          <w:lang w:val="bg-BG"/>
        </w:rPr>
        <w:t xml:space="preserve"> </w:t>
      </w:r>
    </w:p>
    <w:p w14:paraId="384C93F9" w14:textId="77777777" w:rsidR="0061624E" w:rsidRPr="00AE3F65" w:rsidRDefault="0061624E" w:rsidP="006407B1">
      <w:pPr>
        <w:ind w:right="11" w:firstLine="720"/>
        <w:jc w:val="both"/>
        <w:rPr>
          <w:rFonts w:ascii="Book Antiqua" w:hAnsi="Book Antiqua"/>
          <w:color w:val="000000"/>
          <w:sz w:val="24"/>
          <w:szCs w:val="24"/>
          <w:lang w:val="bg-BG"/>
        </w:rPr>
      </w:pPr>
      <w:r w:rsidRPr="00AE3F65">
        <w:rPr>
          <w:rFonts w:ascii="Book Antiqua" w:hAnsi="Book Antiqua"/>
          <w:color w:val="000000"/>
          <w:sz w:val="24"/>
          <w:szCs w:val="24"/>
          <w:lang w:val="bg-BG"/>
        </w:rPr>
        <w:t xml:space="preserve">Пълномощникът е длъжен да гласува по горепосочения начин. В случаите на инструкции за гласуване – против, по своя преценка, въздържал се пълномощникът </w:t>
      </w:r>
      <w:r w:rsidRPr="00AE3F65">
        <w:rPr>
          <w:rFonts w:ascii="Book Antiqua" w:hAnsi="Book Antiqua"/>
          <w:color w:val="000000"/>
          <w:sz w:val="24"/>
          <w:szCs w:val="24"/>
          <w:lang w:val="bg-BG"/>
        </w:rPr>
        <w:lastRenderedPageBreak/>
        <w:t>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AE3F65">
        <w:rPr>
          <w:rFonts w:ascii="Book Antiqua" w:hAnsi="Book Antiqua"/>
          <w:color w:val="000000"/>
          <w:sz w:val="24"/>
          <w:szCs w:val="24"/>
          <w:lang w:val="bg-BG"/>
        </w:rPr>
        <w:t xml:space="preserve"> </w:t>
      </w:r>
      <w:r w:rsidRPr="00AE3F65">
        <w:rPr>
          <w:rFonts w:ascii="Book Antiqua" w:hAnsi="Book Antiqua"/>
          <w:color w:val="000000"/>
          <w:sz w:val="24"/>
          <w:szCs w:val="24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AE3F65">
        <w:rPr>
          <w:rFonts w:ascii="Book Antiqua" w:hAnsi="Book Antiqua"/>
          <w:color w:val="000000"/>
          <w:sz w:val="24"/>
          <w:szCs w:val="24"/>
          <w:lang w:val="bg-BG"/>
        </w:rPr>
        <w:t xml:space="preserve"> 1 от ТЗ пълномощникът има</w:t>
      </w:r>
      <w:r w:rsidRPr="00AE3F65">
        <w:rPr>
          <w:rFonts w:ascii="Book Antiqua" w:hAnsi="Book Antiqua"/>
          <w:color w:val="000000"/>
          <w:sz w:val="24"/>
          <w:szCs w:val="24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AE3F65">
        <w:rPr>
          <w:rFonts w:ascii="Book Antiqua" w:hAnsi="Book Antiqua"/>
          <w:color w:val="000000"/>
          <w:sz w:val="24"/>
          <w:szCs w:val="24"/>
          <w:lang w:val="bg-BG"/>
        </w:rPr>
        <w:t>лючените въпроси в дневния ред.</w:t>
      </w:r>
    </w:p>
    <w:p w14:paraId="6CD59AA9" w14:textId="77777777" w:rsidR="0061624E" w:rsidRPr="00AE3F65" w:rsidRDefault="0061624E" w:rsidP="006407B1">
      <w:pPr>
        <w:ind w:right="11" w:firstLine="720"/>
        <w:jc w:val="both"/>
        <w:rPr>
          <w:rFonts w:ascii="Book Antiqua" w:hAnsi="Book Antiqua"/>
          <w:sz w:val="24"/>
          <w:szCs w:val="24"/>
          <w:lang w:val="bg-BG"/>
        </w:rPr>
      </w:pPr>
      <w:r w:rsidRPr="00AE3F65">
        <w:rPr>
          <w:rFonts w:ascii="Book Antiqua" w:hAnsi="Book Antiqua"/>
          <w:sz w:val="24"/>
          <w:szCs w:val="24"/>
          <w:lang w:val="bg-BG"/>
        </w:rPr>
        <w:t>Съгласно чл. 116, ал. 4 от ЗППЦК преупълномощаването с изброените по-горе права е нищожно.</w:t>
      </w:r>
    </w:p>
    <w:p w14:paraId="599B321D" w14:textId="77777777" w:rsidR="00C211C8" w:rsidRPr="00AE3F65" w:rsidRDefault="00C211C8" w:rsidP="006407B1">
      <w:pPr>
        <w:jc w:val="both"/>
        <w:rPr>
          <w:rFonts w:ascii="Book Antiqua" w:hAnsi="Book Antiqua"/>
          <w:b/>
          <w:sz w:val="24"/>
          <w:szCs w:val="24"/>
          <w:lang w:val="bg-BG"/>
        </w:rPr>
      </w:pPr>
    </w:p>
    <w:p w14:paraId="31DE71F4" w14:textId="77777777" w:rsidR="0061624E" w:rsidRPr="00AE3F65" w:rsidRDefault="0061624E" w:rsidP="006407B1">
      <w:pPr>
        <w:ind w:firstLine="720"/>
        <w:jc w:val="both"/>
        <w:rPr>
          <w:rFonts w:ascii="Book Antiqua" w:hAnsi="Book Antiqua"/>
          <w:sz w:val="24"/>
          <w:szCs w:val="24"/>
          <w:lang w:val="bg-BG"/>
        </w:rPr>
      </w:pPr>
      <w:r w:rsidRPr="00AE3F65">
        <w:rPr>
          <w:rFonts w:ascii="Book Antiqua" w:hAnsi="Book Antiqua"/>
          <w:sz w:val="24"/>
          <w:szCs w:val="24"/>
          <w:lang w:val="bg-BG"/>
        </w:rPr>
        <w:t>Настоящото пълномощно е валидно до извършване на действията, предвидени в него.</w:t>
      </w:r>
    </w:p>
    <w:p w14:paraId="3DC67B4D" w14:textId="77777777" w:rsidR="0061624E" w:rsidRPr="00AE3F65" w:rsidRDefault="0061624E" w:rsidP="006407B1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027514C4" w14:textId="77777777" w:rsidR="00A57809" w:rsidRPr="00AE3F65" w:rsidRDefault="00A57809" w:rsidP="006407B1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60AA43DF" w14:textId="77777777" w:rsidR="00A57809" w:rsidRPr="00AE3F65" w:rsidRDefault="00A57809" w:rsidP="006407B1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7EFAA358" w14:textId="77777777" w:rsidR="0061624E" w:rsidRPr="00AE3F65" w:rsidRDefault="000B7617" w:rsidP="006407B1">
      <w:pPr>
        <w:jc w:val="both"/>
        <w:rPr>
          <w:rFonts w:ascii="Book Antiqua" w:hAnsi="Book Antiqua"/>
          <w:sz w:val="24"/>
          <w:szCs w:val="24"/>
          <w:lang w:val="bg-BG"/>
        </w:rPr>
      </w:pPr>
      <w:r w:rsidRPr="00AE3F65">
        <w:rPr>
          <w:rFonts w:ascii="Book Antiqua" w:hAnsi="Book Antiqua"/>
          <w:sz w:val="24"/>
          <w:szCs w:val="24"/>
          <w:lang w:val="bg-BG"/>
        </w:rPr>
        <w:t>Дата: …………………….</w:t>
      </w:r>
      <w:r w:rsidRPr="00AE3F65">
        <w:rPr>
          <w:rFonts w:ascii="Book Antiqua" w:hAnsi="Book Antiqua"/>
          <w:sz w:val="24"/>
          <w:szCs w:val="24"/>
          <w:lang w:val="bg-BG"/>
        </w:rPr>
        <w:tab/>
      </w:r>
      <w:r w:rsidRPr="00AE3F65">
        <w:rPr>
          <w:rFonts w:ascii="Book Antiqua" w:hAnsi="Book Antiqua"/>
          <w:sz w:val="24"/>
          <w:szCs w:val="24"/>
          <w:lang w:val="bg-BG"/>
        </w:rPr>
        <w:tab/>
      </w:r>
      <w:r w:rsidRPr="00AE3F65">
        <w:rPr>
          <w:rFonts w:ascii="Book Antiqua" w:hAnsi="Book Antiqua"/>
          <w:sz w:val="24"/>
          <w:szCs w:val="24"/>
          <w:lang w:val="bg-BG"/>
        </w:rPr>
        <w:tab/>
      </w:r>
      <w:r w:rsidRPr="00AE3F65">
        <w:rPr>
          <w:rFonts w:ascii="Book Antiqua" w:hAnsi="Book Antiqua"/>
          <w:sz w:val="24"/>
          <w:szCs w:val="24"/>
          <w:lang w:val="bg-BG"/>
        </w:rPr>
        <w:tab/>
      </w:r>
      <w:r w:rsidR="0061624E" w:rsidRPr="00AE3F65">
        <w:rPr>
          <w:rFonts w:ascii="Book Antiqua" w:hAnsi="Book Antiqua"/>
          <w:b/>
          <w:sz w:val="24"/>
          <w:szCs w:val="24"/>
          <w:lang w:val="bg-BG"/>
        </w:rPr>
        <w:t>УПЪЛНОМОЩИТЕЛ</w:t>
      </w:r>
      <w:r w:rsidR="0061624E" w:rsidRPr="00AE3F65">
        <w:rPr>
          <w:rFonts w:ascii="Book Antiqua" w:hAnsi="Book Antiqua"/>
          <w:sz w:val="24"/>
          <w:szCs w:val="24"/>
          <w:lang w:val="bg-BG"/>
        </w:rPr>
        <w:t>:...</w:t>
      </w:r>
      <w:r w:rsidRPr="00AE3F65">
        <w:rPr>
          <w:rFonts w:ascii="Book Antiqua" w:hAnsi="Book Antiqua"/>
          <w:sz w:val="24"/>
          <w:szCs w:val="24"/>
          <w:lang w:val="bg-BG"/>
        </w:rPr>
        <w:t>...............................</w:t>
      </w:r>
    </w:p>
    <w:sectPr w:rsidR="0061624E" w:rsidRPr="00AE3F65" w:rsidSect="00893D96">
      <w:footerReference w:type="even" r:id="rId8"/>
      <w:footerReference w:type="default" r:id="rId9"/>
      <w:pgSz w:w="11906" w:h="16838"/>
      <w:pgMar w:top="851" w:right="991" w:bottom="1135" w:left="1134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9D3E7" w14:textId="77777777" w:rsidR="00AC0D43" w:rsidRDefault="00AC0D43">
      <w:r>
        <w:separator/>
      </w:r>
    </w:p>
  </w:endnote>
  <w:endnote w:type="continuationSeparator" w:id="0">
    <w:p w14:paraId="0BC848A8" w14:textId="77777777" w:rsidR="00AC0D43" w:rsidRDefault="00AC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89E7" w14:textId="77777777" w:rsidR="008D7255" w:rsidRDefault="008944D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50DA5DA6" w14:textId="77777777" w:rsidR="008D7255" w:rsidRDefault="008D72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D0F0" w14:textId="77777777" w:rsidR="009C2B6E" w:rsidRPr="00893D96" w:rsidRDefault="008944D4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BD4228">
      <w:rPr>
        <w:noProof/>
      </w:rPr>
      <w:t>3</w:t>
    </w:r>
    <w:r>
      <w:rPr>
        <w:noProof/>
      </w:rPr>
      <w:fldChar w:fldCharType="end"/>
    </w:r>
  </w:p>
  <w:p w14:paraId="1A385830" w14:textId="77777777" w:rsidR="009C2B6E" w:rsidRDefault="009C2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2B27A" w14:textId="77777777" w:rsidR="00AC0D43" w:rsidRDefault="00AC0D43">
      <w:r>
        <w:separator/>
      </w:r>
    </w:p>
  </w:footnote>
  <w:footnote w:type="continuationSeparator" w:id="0">
    <w:p w14:paraId="7183DA95" w14:textId="77777777" w:rsidR="00AC0D43" w:rsidRDefault="00AC0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A03BD0"/>
    <w:multiLevelType w:val="multilevel"/>
    <w:tmpl w:val="C8366DEE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10189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666476">
    <w:abstractNumId w:val="3"/>
  </w:num>
  <w:num w:numId="3" w16cid:durableId="1788543561">
    <w:abstractNumId w:val="1"/>
  </w:num>
  <w:num w:numId="4" w16cid:durableId="1391928357">
    <w:abstractNumId w:val="6"/>
  </w:num>
  <w:num w:numId="5" w16cid:durableId="1386175477">
    <w:abstractNumId w:val="2"/>
  </w:num>
  <w:num w:numId="6" w16cid:durableId="162084985">
    <w:abstractNumId w:val="0"/>
  </w:num>
  <w:num w:numId="7" w16cid:durableId="8357333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E"/>
    <w:rsid w:val="00010BFA"/>
    <w:rsid w:val="00010EFF"/>
    <w:rsid w:val="00013E3B"/>
    <w:rsid w:val="000218B6"/>
    <w:rsid w:val="000665DA"/>
    <w:rsid w:val="000822D8"/>
    <w:rsid w:val="00091063"/>
    <w:rsid w:val="000A3285"/>
    <w:rsid w:val="000B3FEB"/>
    <w:rsid w:val="000B7617"/>
    <w:rsid w:val="000C3610"/>
    <w:rsid w:val="000C75A8"/>
    <w:rsid w:val="00103010"/>
    <w:rsid w:val="00122063"/>
    <w:rsid w:val="00133A7A"/>
    <w:rsid w:val="00142BE9"/>
    <w:rsid w:val="00145483"/>
    <w:rsid w:val="00151A9D"/>
    <w:rsid w:val="001549D5"/>
    <w:rsid w:val="001926DA"/>
    <w:rsid w:val="001A11FC"/>
    <w:rsid w:val="001E0722"/>
    <w:rsid w:val="0022211F"/>
    <w:rsid w:val="00254897"/>
    <w:rsid w:val="002730FE"/>
    <w:rsid w:val="00293FA8"/>
    <w:rsid w:val="002B3079"/>
    <w:rsid w:val="002D424B"/>
    <w:rsid w:val="00352D12"/>
    <w:rsid w:val="00356821"/>
    <w:rsid w:val="00367393"/>
    <w:rsid w:val="00376533"/>
    <w:rsid w:val="003825A2"/>
    <w:rsid w:val="003D28A6"/>
    <w:rsid w:val="004309D2"/>
    <w:rsid w:val="004502EC"/>
    <w:rsid w:val="00492373"/>
    <w:rsid w:val="004B517D"/>
    <w:rsid w:val="004C13CD"/>
    <w:rsid w:val="004C4EBE"/>
    <w:rsid w:val="004C7337"/>
    <w:rsid w:val="004D3B1F"/>
    <w:rsid w:val="004F57D8"/>
    <w:rsid w:val="005278E4"/>
    <w:rsid w:val="00535A1A"/>
    <w:rsid w:val="00540710"/>
    <w:rsid w:val="005A70FA"/>
    <w:rsid w:val="005B4449"/>
    <w:rsid w:val="005D28EA"/>
    <w:rsid w:val="005E066C"/>
    <w:rsid w:val="005F338C"/>
    <w:rsid w:val="0060369E"/>
    <w:rsid w:val="0061624E"/>
    <w:rsid w:val="00616446"/>
    <w:rsid w:val="00617B8E"/>
    <w:rsid w:val="00622D95"/>
    <w:rsid w:val="0063794B"/>
    <w:rsid w:val="006407B1"/>
    <w:rsid w:val="00671B8A"/>
    <w:rsid w:val="00681B86"/>
    <w:rsid w:val="0069033A"/>
    <w:rsid w:val="006D4699"/>
    <w:rsid w:val="006D7B7D"/>
    <w:rsid w:val="006E06B1"/>
    <w:rsid w:val="006F6FFC"/>
    <w:rsid w:val="007257CF"/>
    <w:rsid w:val="00725A42"/>
    <w:rsid w:val="00747E3E"/>
    <w:rsid w:val="00792A96"/>
    <w:rsid w:val="007960A1"/>
    <w:rsid w:val="007B14D1"/>
    <w:rsid w:val="007C5672"/>
    <w:rsid w:val="007E2F15"/>
    <w:rsid w:val="007F64F1"/>
    <w:rsid w:val="00806196"/>
    <w:rsid w:val="0080658F"/>
    <w:rsid w:val="00821D9B"/>
    <w:rsid w:val="00831A56"/>
    <w:rsid w:val="00843207"/>
    <w:rsid w:val="00865A0D"/>
    <w:rsid w:val="00872FEA"/>
    <w:rsid w:val="00877B7B"/>
    <w:rsid w:val="00885CF3"/>
    <w:rsid w:val="00893D96"/>
    <w:rsid w:val="008944D4"/>
    <w:rsid w:val="008D441C"/>
    <w:rsid w:val="008D7255"/>
    <w:rsid w:val="00911B8C"/>
    <w:rsid w:val="00914620"/>
    <w:rsid w:val="00933566"/>
    <w:rsid w:val="0093454A"/>
    <w:rsid w:val="00941BC0"/>
    <w:rsid w:val="009475E1"/>
    <w:rsid w:val="00971046"/>
    <w:rsid w:val="00980D02"/>
    <w:rsid w:val="009B0DAF"/>
    <w:rsid w:val="009C2B6E"/>
    <w:rsid w:val="00A15E24"/>
    <w:rsid w:val="00A24F8A"/>
    <w:rsid w:val="00A30A6B"/>
    <w:rsid w:val="00A33F84"/>
    <w:rsid w:val="00A37463"/>
    <w:rsid w:val="00A417EF"/>
    <w:rsid w:val="00A57809"/>
    <w:rsid w:val="00A67022"/>
    <w:rsid w:val="00A76BDE"/>
    <w:rsid w:val="00A82025"/>
    <w:rsid w:val="00AA5EDB"/>
    <w:rsid w:val="00AB0F7D"/>
    <w:rsid w:val="00AC0D43"/>
    <w:rsid w:val="00AE3F65"/>
    <w:rsid w:val="00AE5A08"/>
    <w:rsid w:val="00AF556A"/>
    <w:rsid w:val="00B05F6B"/>
    <w:rsid w:val="00B07D9B"/>
    <w:rsid w:val="00B353B3"/>
    <w:rsid w:val="00B82B49"/>
    <w:rsid w:val="00B86910"/>
    <w:rsid w:val="00B93741"/>
    <w:rsid w:val="00B96758"/>
    <w:rsid w:val="00BC6FF1"/>
    <w:rsid w:val="00BD0120"/>
    <w:rsid w:val="00BD4228"/>
    <w:rsid w:val="00BF1660"/>
    <w:rsid w:val="00C0430B"/>
    <w:rsid w:val="00C15688"/>
    <w:rsid w:val="00C211C8"/>
    <w:rsid w:val="00C21B85"/>
    <w:rsid w:val="00C32CFB"/>
    <w:rsid w:val="00C35ADB"/>
    <w:rsid w:val="00C373F4"/>
    <w:rsid w:val="00C71C73"/>
    <w:rsid w:val="00C73A76"/>
    <w:rsid w:val="00CA7403"/>
    <w:rsid w:val="00CA762C"/>
    <w:rsid w:val="00CB1548"/>
    <w:rsid w:val="00CC0EB0"/>
    <w:rsid w:val="00CD0E0D"/>
    <w:rsid w:val="00CD4ACD"/>
    <w:rsid w:val="00CE581C"/>
    <w:rsid w:val="00D6717F"/>
    <w:rsid w:val="00D75510"/>
    <w:rsid w:val="00D85C05"/>
    <w:rsid w:val="00D92251"/>
    <w:rsid w:val="00DB672E"/>
    <w:rsid w:val="00DF1A90"/>
    <w:rsid w:val="00E02A9A"/>
    <w:rsid w:val="00E11F4D"/>
    <w:rsid w:val="00E303CA"/>
    <w:rsid w:val="00E30981"/>
    <w:rsid w:val="00E31E8F"/>
    <w:rsid w:val="00E805C4"/>
    <w:rsid w:val="00E90EEF"/>
    <w:rsid w:val="00E914BC"/>
    <w:rsid w:val="00E92A5E"/>
    <w:rsid w:val="00E95AE3"/>
    <w:rsid w:val="00E96229"/>
    <w:rsid w:val="00EA2969"/>
    <w:rsid w:val="00EA495A"/>
    <w:rsid w:val="00EB37E7"/>
    <w:rsid w:val="00EE0D6C"/>
    <w:rsid w:val="00F03E91"/>
    <w:rsid w:val="00F26737"/>
    <w:rsid w:val="00F51263"/>
    <w:rsid w:val="00F5202C"/>
    <w:rsid w:val="00F52846"/>
    <w:rsid w:val="00F74A7E"/>
    <w:rsid w:val="00F94EC1"/>
    <w:rsid w:val="00FA5651"/>
    <w:rsid w:val="00FD00DF"/>
    <w:rsid w:val="00FE49E9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4F0BD"/>
  <w15:chartTrackingRefBased/>
  <w15:docId w15:val="{7925A6B6-8D6A-4CA7-BE16-B0268E13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 w:eastAsia="x-none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 w:eastAsia="x-none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link w:val="a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  <w:style w:type="character" w:customStyle="1" w:styleId="WW8Num5z4">
    <w:name w:val="WW8Num5z4"/>
    <w:rsid w:val="00CC0EB0"/>
  </w:style>
  <w:style w:type="character" w:customStyle="1" w:styleId="Bodytext2">
    <w:name w:val="Body text (2)"/>
    <w:rsid w:val="00671B8A"/>
    <w:rPr>
      <w:rFonts w:ascii="Times New Roman" w:hAnsi="Times New Roman" w:cs="Times New Roman"/>
      <w:color w:val="000000"/>
      <w:spacing w:val="0"/>
      <w:w w:val="100"/>
      <w:position w:val="0"/>
      <w:sz w:val="24"/>
      <w:u w:val="none"/>
      <w:vertAlign w:val="baseline"/>
      <w:lang w:val="bg-BG"/>
    </w:rPr>
  </w:style>
  <w:style w:type="character" w:customStyle="1" w:styleId="3">
    <w:name w:val="Заглавие #3_"/>
    <w:basedOn w:val="DefaultParagraphFont"/>
    <w:link w:val="30"/>
    <w:rsid w:val="004F57D8"/>
    <w:rPr>
      <w:rFonts w:ascii="Book Antiqua" w:eastAsia="Book Antiqua" w:hAnsi="Book Antiqua" w:cs="Book Antiqua"/>
      <w:b/>
      <w:bCs/>
      <w:i/>
      <w:iCs/>
    </w:rPr>
  </w:style>
  <w:style w:type="character" w:customStyle="1" w:styleId="a">
    <w:name w:val="Основен текст_"/>
    <w:basedOn w:val="DefaultParagraphFont"/>
    <w:link w:val="1"/>
    <w:rsid w:val="004F57D8"/>
    <w:rPr>
      <w:color w:val="000000"/>
      <w:sz w:val="24"/>
      <w:szCs w:val="24"/>
      <w:shd w:val="clear" w:color="auto" w:fill="FFFFFF"/>
      <w:lang w:eastAsia="ar-SA"/>
    </w:rPr>
  </w:style>
  <w:style w:type="paragraph" w:customStyle="1" w:styleId="30">
    <w:name w:val="Заглавие #3"/>
    <w:basedOn w:val="Normal"/>
    <w:link w:val="3"/>
    <w:rsid w:val="004F57D8"/>
    <w:pPr>
      <w:widowControl w:val="0"/>
      <w:spacing w:line="254" w:lineRule="auto"/>
      <w:ind w:firstLine="780"/>
      <w:outlineLvl w:val="2"/>
    </w:pPr>
    <w:rPr>
      <w:rFonts w:ascii="Book Antiqua" w:eastAsia="Book Antiqua" w:hAnsi="Book Antiqua" w:cs="Book Antiqua"/>
      <w:b/>
      <w:bCs/>
      <w:i/>
      <w:i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C151-6D2C-4CFD-882D-8443B7C5C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982</Words>
  <Characters>5600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Eskana PLS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Даскалова</dc:creator>
  <cp:keywords/>
  <cp:lastModifiedBy>Maya Ognyanova</cp:lastModifiedBy>
  <cp:revision>4</cp:revision>
  <cp:lastPrinted>2017-05-02T06:02:00Z</cp:lastPrinted>
  <dcterms:created xsi:type="dcterms:W3CDTF">2024-10-17T11:35:00Z</dcterms:created>
  <dcterms:modified xsi:type="dcterms:W3CDTF">2024-10-17T11:37:00Z</dcterms:modified>
</cp:coreProperties>
</file>